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DA" w:rsidRPr="00A82ADA" w:rsidRDefault="00A82ADA" w:rsidP="00A82ADA">
      <w:pPr>
        <w:rPr>
          <w:rFonts w:ascii="Arial" w:hAnsi="Arial" w:cs="Arial"/>
          <w:sz w:val="24"/>
          <w:szCs w:val="24"/>
        </w:rPr>
      </w:pPr>
      <w:r w:rsidRPr="00A82ADA">
        <w:rPr>
          <w:rFonts w:ascii="Arial" w:hAnsi="Arial" w:cs="Arial"/>
          <w:sz w:val="24"/>
          <w:szCs w:val="24"/>
        </w:rPr>
        <w:t>Kevin Keating</w:t>
      </w:r>
    </w:p>
    <w:p w:rsidR="00A82ADA" w:rsidRPr="00A82ADA" w:rsidRDefault="00A82ADA" w:rsidP="00A82ADA">
      <w:pPr>
        <w:rPr>
          <w:rFonts w:ascii="Arial" w:hAnsi="Arial" w:cs="Arial"/>
          <w:sz w:val="24"/>
          <w:szCs w:val="24"/>
        </w:rPr>
      </w:pPr>
      <w:r w:rsidRPr="00A82ADA">
        <w:rPr>
          <w:rFonts w:ascii="Arial" w:hAnsi="Arial" w:cs="Arial"/>
          <w:sz w:val="24"/>
          <w:szCs w:val="24"/>
        </w:rPr>
        <w:t>Kkeating3@ivytech.edu</w:t>
      </w:r>
    </w:p>
    <w:p w:rsidR="00A82ADA" w:rsidRPr="00A82ADA" w:rsidRDefault="00A82ADA" w:rsidP="00A82ADA">
      <w:pPr>
        <w:rPr>
          <w:rFonts w:ascii="Arial" w:hAnsi="Arial" w:cs="Arial"/>
          <w:sz w:val="24"/>
          <w:szCs w:val="24"/>
        </w:rPr>
      </w:pPr>
      <w:proofErr w:type="spellStart"/>
      <w:r w:rsidRPr="00A82ADA">
        <w:rPr>
          <w:rFonts w:ascii="Arial" w:hAnsi="Arial" w:cs="Arial"/>
          <w:sz w:val="24"/>
          <w:szCs w:val="24"/>
        </w:rPr>
        <w:t>PhysicsII</w:t>
      </w:r>
      <w:proofErr w:type="spellEnd"/>
      <w:r w:rsidRPr="00A82ADA">
        <w:rPr>
          <w:rFonts w:ascii="Arial" w:hAnsi="Arial" w:cs="Arial"/>
          <w:sz w:val="24"/>
          <w:szCs w:val="24"/>
        </w:rPr>
        <w:t>-(PHYS102-11R-B1-201320)</w:t>
      </w:r>
    </w:p>
    <w:p w:rsidR="00A82ADA" w:rsidRDefault="00A82ADA">
      <w:pPr>
        <w:rPr>
          <w:rFonts w:ascii="Arial" w:hAnsi="Arial" w:cs="Arial"/>
          <w:b/>
          <w:sz w:val="36"/>
          <w:szCs w:val="36"/>
        </w:rPr>
      </w:pPr>
    </w:p>
    <w:p w:rsidR="0069492A" w:rsidRPr="005D5F51" w:rsidRDefault="005D5F51">
      <w:pPr>
        <w:rPr>
          <w:rFonts w:ascii="Arial" w:hAnsi="Arial" w:cs="Arial"/>
          <w:b/>
          <w:sz w:val="36"/>
          <w:szCs w:val="36"/>
        </w:rPr>
      </w:pPr>
      <w:r w:rsidRPr="005D5F51">
        <w:rPr>
          <w:rFonts w:ascii="Arial" w:hAnsi="Arial" w:cs="Arial"/>
          <w:b/>
          <w:sz w:val="36"/>
          <w:szCs w:val="36"/>
        </w:rPr>
        <w:t>Experiment:</w:t>
      </w:r>
      <w:r w:rsidR="0069492A">
        <w:rPr>
          <w:rFonts w:ascii="Arial" w:hAnsi="Arial" w:cs="Arial"/>
          <w:b/>
          <w:sz w:val="36"/>
          <w:szCs w:val="36"/>
        </w:rPr>
        <w:t xml:space="preserve"> Radioactive Decay</w:t>
      </w:r>
    </w:p>
    <w:p w:rsidR="005D5F51" w:rsidRDefault="005D5F51">
      <w:pPr>
        <w:rPr>
          <w:rFonts w:ascii="Arial" w:hAnsi="Arial" w:cs="Arial"/>
          <w:sz w:val="28"/>
          <w:szCs w:val="28"/>
        </w:rPr>
      </w:pPr>
      <w:r w:rsidRPr="005D5F51">
        <w:rPr>
          <w:rFonts w:ascii="Arial" w:hAnsi="Arial" w:cs="Arial"/>
          <w:b/>
          <w:sz w:val="28"/>
          <w:szCs w:val="28"/>
        </w:rPr>
        <w:t xml:space="preserve">Introduction: </w:t>
      </w:r>
      <w:r w:rsidRPr="005D5F51">
        <w:rPr>
          <w:rFonts w:ascii="Arial" w:hAnsi="Arial" w:cs="Arial"/>
          <w:sz w:val="28"/>
          <w:szCs w:val="28"/>
        </w:rPr>
        <w:t xml:space="preserve">  </w:t>
      </w:r>
    </w:p>
    <w:p w:rsidR="0069492A" w:rsidRPr="0069492A" w:rsidRDefault="0069492A" w:rsidP="0069492A">
      <w:pPr>
        <w:ind w:left="720"/>
        <w:rPr>
          <w:rFonts w:ascii="Arial" w:hAnsi="Arial" w:cs="Arial"/>
          <w:sz w:val="24"/>
          <w:szCs w:val="24"/>
        </w:rPr>
      </w:pPr>
      <w:r w:rsidRPr="0069492A">
        <w:rPr>
          <w:rFonts w:ascii="Arial" w:hAnsi="Arial" w:cs="Arial"/>
          <w:sz w:val="24"/>
          <w:szCs w:val="24"/>
        </w:rPr>
        <w:t>The law of radioactive decay predicts how the number of the not decayed nuclei of a given radioactive substance decreases in the course of time. The red circles of this simulation symbolize 1000 atomic nuclei of a radioactive substance whose half-life period (T) amounts to 20 seconds. The diagram in the lower part of the applet represents the fraction of the not yet decayed nuclei (N/N0) at a given time t, predicted by the following law:</w:t>
      </w:r>
    </w:p>
    <w:p w:rsidR="0069492A" w:rsidRPr="0069492A" w:rsidRDefault="0069492A" w:rsidP="0069492A">
      <w:pPr>
        <w:ind w:left="2880" w:firstLine="720"/>
        <w:rPr>
          <w:rFonts w:ascii="Arial" w:hAnsi="Arial" w:cs="Arial"/>
          <w:sz w:val="24"/>
          <w:szCs w:val="24"/>
        </w:rPr>
      </w:pPr>
      <w:r w:rsidRPr="0069492A">
        <w:rPr>
          <w:rFonts w:ascii="Arial" w:hAnsi="Arial" w:cs="Arial"/>
          <w:sz w:val="24"/>
          <w:szCs w:val="24"/>
        </w:rPr>
        <w:t>N   =   N</w:t>
      </w:r>
      <w:r w:rsidRPr="00BA2FFE">
        <w:rPr>
          <w:rFonts w:ascii="Arial" w:hAnsi="Arial" w:cs="Arial"/>
          <w:sz w:val="24"/>
          <w:szCs w:val="24"/>
          <w:vertAlign w:val="subscript"/>
        </w:rPr>
        <w:t>0</w:t>
      </w:r>
      <w:r w:rsidR="00BA2FFE">
        <w:rPr>
          <w:rFonts w:ascii="Arial" w:hAnsi="Arial" w:cs="Arial"/>
          <w:sz w:val="24"/>
          <w:szCs w:val="24"/>
        </w:rPr>
        <w:t xml:space="preserve"> • </w:t>
      </w:r>
      <w:r w:rsidRPr="0069492A">
        <w:rPr>
          <w:rFonts w:ascii="Arial" w:hAnsi="Arial" w:cs="Arial"/>
          <w:sz w:val="24"/>
          <w:szCs w:val="24"/>
        </w:rPr>
        <w:t>2</w:t>
      </w:r>
      <w:r w:rsidRPr="0069492A">
        <w:rPr>
          <w:rFonts w:ascii="Arial" w:hAnsi="Arial" w:cs="Arial"/>
          <w:sz w:val="24"/>
          <w:szCs w:val="24"/>
          <w:vertAlign w:val="superscript"/>
        </w:rPr>
        <w:t>-t/T</w:t>
      </w:r>
    </w:p>
    <w:p w:rsidR="0069492A" w:rsidRPr="0069492A" w:rsidRDefault="00BA2FFE" w:rsidP="0069492A">
      <w:pPr>
        <w:ind w:left="2160" w:firstLine="720"/>
        <w:rPr>
          <w:rFonts w:ascii="Arial" w:hAnsi="Arial" w:cs="Arial"/>
          <w:sz w:val="24"/>
          <w:szCs w:val="24"/>
        </w:rPr>
      </w:pPr>
      <w:r>
        <w:rPr>
          <w:rFonts w:ascii="Arial" w:hAnsi="Arial" w:cs="Arial"/>
          <w:sz w:val="24"/>
          <w:szCs w:val="24"/>
        </w:rPr>
        <w:t xml:space="preserve">N </w:t>
      </w:r>
      <w:r w:rsidR="0069492A" w:rsidRPr="0069492A">
        <w:rPr>
          <w:rFonts w:ascii="Arial" w:hAnsi="Arial" w:cs="Arial"/>
          <w:sz w:val="24"/>
          <w:szCs w:val="24"/>
        </w:rPr>
        <w:t>is the number of the not decayed nuclei</w:t>
      </w:r>
    </w:p>
    <w:p w:rsidR="0069492A" w:rsidRPr="0069492A" w:rsidRDefault="0069492A" w:rsidP="0069492A">
      <w:pPr>
        <w:ind w:left="2160" w:firstLine="720"/>
        <w:rPr>
          <w:rFonts w:ascii="Arial" w:hAnsi="Arial" w:cs="Arial"/>
          <w:sz w:val="24"/>
          <w:szCs w:val="24"/>
        </w:rPr>
      </w:pPr>
      <w:r w:rsidRPr="0069492A">
        <w:rPr>
          <w:rFonts w:ascii="Arial" w:hAnsi="Arial" w:cs="Arial"/>
          <w:sz w:val="24"/>
          <w:szCs w:val="24"/>
        </w:rPr>
        <w:t>N</w:t>
      </w:r>
      <w:r w:rsidRPr="00BA2FFE">
        <w:rPr>
          <w:rFonts w:ascii="Arial" w:hAnsi="Arial" w:cs="Arial"/>
          <w:sz w:val="24"/>
          <w:szCs w:val="24"/>
          <w:vertAlign w:val="subscript"/>
        </w:rPr>
        <w:t>0</w:t>
      </w:r>
      <w:r w:rsidRPr="0069492A">
        <w:rPr>
          <w:rFonts w:ascii="Arial" w:hAnsi="Arial" w:cs="Arial"/>
          <w:sz w:val="24"/>
          <w:szCs w:val="24"/>
        </w:rPr>
        <w:t xml:space="preserve"> is the number of the initially existing nuclei</w:t>
      </w:r>
    </w:p>
    <w:p w:rsidR="0069492A" w:rsidRPr="0069492A" w:rsidRDefault="0069492A" w:rsidP="0069492A">
      <w:pPr>
        <w:ind w:left="2880"/>
        <w:rPr>
          <w:rFonts w:ascii="Arial" w:hAnsi="Arial" w:cs="Arial"/>
          <w:sz w:val="24"/>
          <w:szCs w:val="24"/>
        </w:rPr>
      </w:pPr>
      <w:proofErr w:type="gramStart"/>
      <w:r w:rsidRPr="0069492A">
        <w:rPr>
          <w:rFonts w:ascii="Arial" w:hAnsi="Arial" w:cs="Arial"/>
          <w:sz w:val="24"/>
          <w:szCs w:val="24"/>
        </w:rPr>
        <w:t>t</w:t>
      </w:r>
      <w:proofErr w:type="gramEnd"/>
      <w:r w:rsidRPr="0069492A">
        <w:rPr>
          <w:rFonts w:ascii="Arial" w:hAnsi="Arial" w:cs="Arial"/>
          <w:sz w:val="24"/>
          <w:szCs w:val="24"/>
        </w:rPr>
        <w:t xml:space="preserve"> is the time</w:t>
      </w:r>
    </w:p>
    <w:p w:rsidR="0069492A" w:rsidRPr="005D5F51" w:rsidRDefault="0069492A" w:rsidP="0069492A">
      <w:pPr>
        <w:ind w:left="2160" w:firstLine="720"/>
        <w:rPr>
          <w:rFonts w:ascii="Arial" w:hAnsi="Arial" w:cs="Arial"/>
          <w:sz w:val="28"/>
          <w:szCs w:val="28"/>
        </w:rPr>
      </w:pPr>
      <w:r w:rsidRPr="0069492A">
        <w:rPr>
          <w:rFonts w:ascii="Arial" w:hAnsi="Arial" w:cs="Arial"/>
          <w:sz w:val="24"/>
          <w:szCs w:val="24"/>
        </w:rPr>
        <w:t>T is the half-life period of the material</w:t>
      </w:r>
    </w:p>
    <w:p w:rsidR="005D5F51" w:rsidRDefault="005D5F51">
      <w:pPr>
        <w:rPr>
          <w:rFonts w:ascii="Arial" w:hAnsi="Arial" w:cs="Arial"/>
          <w:b/>
          <w:sz w:val="28"/>
          <w:szCs w:val="28"/>
        </w:rPr>
      </w:pPr>
      <w:r w:rsidRPr="005D5F51">
        <w:rPr>
          <w:rFonts w:ascii="Arial" w:hAnsi="Arial" w:cs="Arial"/>
          <w:b/>
          <w:sz w:val="28"/>
          <w:szCs w:val="28"/>
        </w:rPr>
        <w:t xml:space="preserve">Procedure: </w:t>
      </w:r>
    </w:p>
    <w:p w:rsidR="0069492A" w:rsidRDefault="0069492A" w:rsidP="0069492A">
      <w:pPr>
        <w:ind w:firstLine="720"/>
        <w:rPr>
          <w:rFonts w:ascii="Arial" w:hAnsi="Arial" w:cs="Arial"/>
          <w:sz w:val="24"/>
          <w:szCs w:val="24"/>
        </w:rPr>
      </w:pPr>
      <w:r>
        <w:rPr>
          <w:rFonts w:ascii="Arial" w:hAnsi="Arial" w:cs="Arial"/>
          <w:sz w:val="24"/>
          <w:szCs w:val="24"/>
        </w:rPr>
        <w:t xml:space="preserve">1. </w:t>
      </w:r>
      <w:r w:rsidRPr="0069492A">
        <w:rPr>
          <w:rFonts w:ascii="Arial" w:hAnsi="Arial" w:cs="Arial"/>
          <w:sz w:val="24"/>
          <w:szCs w:val="24"/>
        </w:rPr>
        <w:t>Load up the Java Lab from the web site</w:t>
      </w:r>
      <w:r w:rsidR="00250C99">
        <w:rPr>
          <w:rFonts w:ascii="Arial" w:hAnsi="Arial" w:cs="Arial"/>
          <w:sz w:val="24"/>
          <w:szCs w:val="24"/>
        </w:rPr>
        <w:t>:</w:t>
      </w:r>
    </w:p>
    <w:p w:rsidR="00250C99" w:rsidRPr="0069492A" w:rsidRDefault="00250C99" w:rsidP="00250C99">
      <w:pPr>
        <w:ind w:left="720" w:firstLine="720"/>
        <w:rPr>
          <w:rFonts w:ascii="Arial" w:hAnsi="Arial" w:cs="Arial"/>
          <w:sz w:val="24"/>
          <w:szCs w:val="24"/>
        </w:rPr>
      </w:pPr>
      <w:r>
        <w:rPr>
          <w:b/>
          <w:color w:val="0000FF"/>
          <w:sz w:val="28"/>
        </w:rPr>
        <w:t>http://www.walter-fendt.de/ph14e/lawdecay.htm.</w:t>
      </w:r>
    </w:p>
    <w:p w:rsidR="0069492A" w:rsidRPr="0069492A" w:rsidRDefault="0069492A" w:rsidP="0069492A">
      <w:pPr>
        <w:ind w:left="720"/>
        <w:rPr>
          <w:rFonts w:ascii="Arial" w:hAnsi="Arial" w:cs="Arial"/>
          <w:sz w:val="24"/>
          <w:szCs w:val="24"/>
        </w:rPr>
      </w:pPr>
      <w:r>
        <w:rPr>
          <w:rFonts w:ascii="Arial" w:hAnsi="Arial" w:cs="Arial"/>
          <w:sz w:val="24"/>
          <w:szCs w:val="24"/>
        </w:rPr>
        <w:t xml:space="preserve">2. </w:t>
      </w:r>
      <w:r w:rsidRPr="0069492A">
        <w:rPr>
          <w:rFonts w:ascii="Arial" w:hAnsi="Arial" w:cs="Arial"/>
          <w:sz w:val="24"/>
          <w:szCs w:val="24"/>
        </w:rPr>
        <w:t xml:space="preserve">As soon as the applet is started with the yellow button, the atomic nuclei will begin to "decay" (change of color from red to black). You can stop and continue the simulation by using the button "Pause / Resume". In this case, a blue point for the time and the fraction of the not yet decayed nuclei is drawn into the diagram. (Note that often these points don't lie exactly on the curve!) </w:t>
      </w:r>
    </w:p>
    <w:p w:rsidR="0069492A" w:rsidRPr="0069492A" w:rsidRDefault="0069492A" w:rsidP="0069492A">
      <w:pPr>
        <w:ind w:left="720"/>
        <w:rPr>
          <w:rFonts w:ascii="Arial" w:hAnsi="Arial" w:cs="Arial"/>
          <w:sz w:val="24"/>
          <w:szCs w:val="24"/>
        </w:rPr>
      </w:pPr>
      <w:r>
        <w:rPr>
          <w:rFonts w:ascii="Arial" w:hAnsi="Arial" w:cs="Arial"/>
          <w:sz w:val="24"/>
          <w:szCs w:val="24"/>
        </w:rPr>
        <w:t xml:space="preserve">3. </w:t>
      </w:r>
      <w:r w:rsidRPr="0069492A">
        <w:rPr>
          <w:rFonts w:ascii="Arial" w:hAnsi="Arial" w:cs="Arial"/>
          <w:sz w:val="24"/>
          <w:szCs w:val="24"/>
        </w:rPr>
        <w:t>If you want to restore the initial state, you will have to click on the "Reset" button.</w:t>
      </w:r>
    </w:p>
    <w:p w:rsidR="0069492A" w:rsidRDefault="0069492A" w:rsidP="0069492A">
      <w:pPr>
        <w:ind w:left="720"/>
        <w:rPr>
          <w:rFonts w:ascii="Arial" w:hAnsi="Arial" w:cs="Arial"/>
          <w:sz w:val="24"/>
          <w:szCs w:val="24"/>
        </w:rPr>
      </w:pPr>
      <w:r>
        <w:rPr>
          <w:rFonts w:ascii="Arial" w:hAnsi="Arial" w:cs="Arial"/>
          <w:sz w:val="24"/>
          <w:szCs w:val="24"/>
        </w:rPr>
        <w:lastRenderedPageBreak/>
        <w:t xml:space="preserve">4. </w:t>
      </w:r>
      <w:r w:rsidRPr="0069492A">
        <w:rPr>
          <w:rFonts w:ascii="Arial" w:hAnsi="Arial" w:cs="Arial"/>
          <w:sz w:val="24"/>
          <w:szCs w:val="24"/>
        </w:rPr>
        <w:t>Copy or record the data and the graph for at least five half</w:t>
      </w:r>
      <w:r>
        <w:rPr>
          <w:rFonts w:ascii="Arial" w:hAnsi="Arial" w:cs="Arial"/>
          <w:sz w:val="24"/>
          <w:szCs w:val="24"/>
        </w:rPr>
        <w:t>-</w:t>
      </w:r>
      <w:r w:rsidRPr="0069492A">
        <w:rPr>
          <w:rFonts w:ascii="Arial" w:hAnsi="Arial" w:cs="Arial"/>
          <w:sz w:val="24"/>
          <w:szCs w:val="24"/>
        </w:rPr>
        <w:t>lives, and submit this data and graph as part of your report.</w:t>
      </w:r>
    </w:p>
    <w:p w:rsidR="0069492A" w:rsidRPr="0069492A" w:rsidRDefault="0069492A" w:rsidP="0069492A">
      <w:pPr>
        <w:ind w:left="720"/>
        <w:rPr>
          <w:rFonts w:ascii="Arial" w:hAnsi="Arial" w:cs="Arial"/>
          <w:sz w:val="24"/>
          <w:szCs w:val="24"/>
        </w:rPr>
      </w:pPr>
      <w:r>
        <w:rPr>
          <w:rFonts w:ascii="Arial" w:hAnsi="Arial" w:cs="Arial"/>
          <w:sz w:val="24"/>
          <w:szCs w:val="24"/>
        </w:rPr>
        <w:t xml:space="preserve">5. </w:t>
      </w:r>
      <w:r w:rsidRPr="0069492A">
        <w:rPr>
          <w:rFonts w:ascii="Arial" w:hAnsi="Arial" w:cs="Arial"/>
          <w:sz w:val="24"/>
          <w:szCs w:val="24"/>
        </w:rPr>
        <w:t>Pick one atom (usually a corner atom is easier to keep track of).  Reset the initial state at least six times, and for each time, determine when this atom decays.  When the atom decays, pause the process, and then record the number of nuclei “already decayed.”  When it decays, you can reset to the next trial.</w:t>
      </w:r>
    </w:p>
    <w:p w:rsidR="0069492A" w:rsidRPr="0069492A" w:rsidRDefault="0069492A" w:rsidP="00250C99">
      <w:pPr>
        <w:ind w:left="720"/>
        <w:rPr>
          <w:rFonts w:ascii="Arial" w:hAnsi="Arial" w:cs="Arial"/>
          <w:sz w:val="24"/>
          <w:szCs w:val="24"/>
        </w:rPr>
      </w:pPr>
      <w:r>
        <w:rPr>
          <w:rFonts w:ascii="Arial" w:hAnsi="Arial" w:cs="Arial"/>
          <w:sz w:val="24"/>
          <w:szCs w:val="24"/>
        </w:rPr>
        <w:t xml:space="preserve">6. </w:t>
      </w:r>
      <w:r w:rsidRPr="0069492A">
        <w:rPr>
          <w:rFonts w:ascii="Arial" w:hAnsi="Arial" w:cs="Arial"/>
          <w:sz w:val="24"/>
          <w:szCs w:val="24"/>
        </w:rPr>
        <w:t xml:space="preserve">It is possible to give the probability that a single atomic nucleus will "survive" during a given interval. This probability amounts to 50 % for one half-life period. In an interval twice as long (2 T) the nucleus survives only with a 25 % probability (half of 50 %), in an interval of three half-life periods (3 T) only with 12.5 % (half of 25 %), and so on. You can't, however, predict the time at which a given atomic nucleus will decay. For example, even if the probability of a decay within the next second is 99 %, it is nevertheless possible (but highly improbable) that the nucleus decays after millions of years.  </w:t>
      </w:r>
      <w:r>
        <w:rPr>
          <w:rFonts w:ascii="Arial" w:hAnsi="Arial" w:cs="Arial"/>
          <w:sz w:val="24"/>
          <w:szCs w:val="24"/>
        </w:rPr>
        <w:t>Finally, s</w:t>
      </w:r>
      <w:r w:rsidRPr="0069492A">
        <w:rPr>
          <w:rFonts w:ascii="Arial" w:hAnsi="Arial" w:cs="Arial"/>
          <w:sz w:val="24"/>
          <w:szCs w:val="24"/>
        </w:rPr>
        <w:t>how how the data that you obtained either proves or disproves this concept.  Explain in detail.</w:t>
      </w:r>
    </w:p>
    <w:p w:rsidR="0069492A" w:rsidRPr="005D5F51" w:rsidRDefault="0069492A" w:rsidP="00250C99">
      <w:pPr>
        <w:ind w:firstLine="720"/>
        <w:rPr>
          <w:rFonts w:ascii="Arial" w:hAnsi="Arial" w:cs="Arial"/>
          <w:sz w:val="24"/>
          <w:szCs w:val="24"/>
        </w:rPr>
      </w:pPr>
      <w:r>
        <w:rPr>
          <w:rFonts w:ascii="Arial" w:hAnsi="Arial" w:cs="Arial"/>
          <w:sz w:val="24"/>
          <w:szCs w:val="24"/>
        </w:rPr>
        <w:t>7. Finally, write the report.</w:t>
      </w:r>
    </w:p>
    <w:p w:rsidR="005D5F51" w:rsidRDefault="005D5F51">
      <w:pPr>
        <w:rPr>
          <w:rFonts w:ascii="Arial" w:hAnsi="Arial" w:cs="Arial"/>
          <w:b/>
          <w:sz w:val="28"/>
          <w:szCs w:val="28"/>
        </w:rPr>
      </w:pPr>
      <w:r w:rsidRPr="005D5F51">
        <w:rPr>
          <w:rFonts w:ascii="Arial" w:hAnsi="Arial" w:cs="Arial"/>
          <w:b/>
          <w:sz w:val="28"/>
          <w:szCs w:val="28"/>
        </w:rPr>
        <w:t xml:space="preserve">Data and Observations: </w:t>
      </w:r>
    </w:p>
    <w:p w:rsidR="005B0531" w:rsidRDefault="005B0531">
      <w:pPr>
        <w:rPr>
          <w:rFonts w:ascii="Arial" w:hAnsi="Arial" w:cs="Arial"/>
          <w:b/>
          <w:sz w:val="28"/>
          <w:szCs w:val="28"/>
        </w:rPr>
      </w:pPr>
      <w:r>
        <w:rPr>
          <w:rFonts w:ascii="Arial" w:hAnsi="Arial" w:cs="Arial"/>
          <w:b/>
          <w:sz w:val="28"/>
          <w:szCs w:val="28"/>
        </w:rPr>
        <w:tab/>
      </w:r>
      <w:r w:rsidR="003745B6">
        <w:rPr>
          <w:noProof/>
        </w:rPr>
        <w:drawing>
          <wp:inline distT="0" distB="0" distL="0" distR="0" wp14:anchorId="6D7FBDC9" wp14:editId="2728F2C1">
            <wp:extent cx="3730752" cy="267004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730752" cy="2670048"/>
                    </a:xfrm>
                    <a:prstGeom prst="rect">
                      <a:avLst/>
                    </a:prstGeom>
                  </pic:spPr>
                </pic:pic>
              </a:graphicData>
            </a:graphic>
          </wp:inline>
        </w:drawing>
      </w:r>
    </w:p>
    <w:p w:rsidR="005B0531" w:rsidRDefault="005B0531">
      <w:pPr>
        <w:rPr>
          <w:rFonts w:ascii="Arial" w:hAnsi="Arial" w:cs="Arial"/>
          <w:b/>
          <w:sz w:val="28"/>
          <w:szCs w:val="28"/>
        </w:rPr>
      </w:pPr>
      <w:r>
        <w:rPr>
          <w:rFonts w:ascii="Arial" w:hAnsi="Arial" w:cs="Arial"/>
          <w:b/>
          <w:sz w:val="28"/>
          <w:szCs w:val="28"/>
        </w:rPr>
        <w:lastRenderedPageBreak/>
        <w:tab/>
      </w:r>
      <w:r w:rsidR="003745B6">
        <w:rPr>
          <w:noProof/>
        </w:rPr>
        <w:drawing>
          <wp:inline distT="0" distB="0" distL="0" distR="0" wp14:anchorId="10101993" wp14:editId="4788D97E">
            <wp:extent cx="3730752" cy="2660904"/>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730752" cy="2660904"/>
                    </a:xfrm>
                    <a:prstGeom prst="rect">
                      <a:avLst/>
                    </a:prstGeom>
                  </pic:spPr>
                </pic:pic>
              </a:graphicData>
            </a:graphic>
          </wp:inline>
        </w:drawing>
      </w:r>
    </w:p>
    <w:p w:rsidR="005B0531" w:rsidRDefault="005B0531">
      <w:pPr>
        <w:rPr>
          <w:rFonts w:ascii="Arial" w:hAnsi="Arial" w:cs="Arial"/>
          <w:b/>
          <w:sz w:val="28"/>
          <w:szCs w:val="28"/>
        </w:rPr>
      </w:pPr>
      <w:r>
        <w:rPr>
          <w:rFonts w:ascii="Arial" w:hAnsi="Arial" w:cs="Arial"/>
          <w:b/>
          <w:sz w:val="28"/>
          <w:szCs w:val="28"/>
        </w:rPr>
        <w:tab/>
      </w:r>
      <w:r w:rsidR="003745B6">
        <w:rPr>
          <w:noProof/>
        </w:rPr>
        <w:drawing>
          <wp:inline distT="0" distB="0" distL="0" distR="0" wp14:anchorId="6F77B657" wp14:editId="7EA400C7">
            <wp:extent cx="3749040" cy="2660904"/>
            <wp:effectExtent l="0" t="0" r="381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49040" cy="2660904"/>
                    </a:xfrm>
                    <a:prstGeom prst="rect">
                      <a:avLst/>
                    </a:prstGeom>
                  </pic:spPr>
                </pic:pic>
              </a:graphicData>
            </a:graphic>
          </wp:inline>
        </w:drawing>
      </w:r>
    </w:p>
    <w:p w:rsidR="006970E3" w:rsidRDefault="006970E3">
      <w:pPr>
        <w:rPr>
          <w:rFonts w:ascii="Arial" w:hAnsi="Arial" w:cs="Arial"/>
          <w:b/>
          <w:sz w:val="28"/>
          <w:szCs w:val="28"/>
        </w:rPr>
      </w:pPr>
      <w:r>
        <w:rPr>
          <w:rFonts w:ascii="Arial" w:hAnsi="Arial" w:cs="Arial"/>
          <w:b/>
          <w:sz w:val="28"/>
          <w:szCs w:val="28"/>
        </w:rPr>
        <w:tab/>
      </w:r>
    </w:p>
    <w:p w:rsidR="005B0531" w:rsidRDefault="005B0531">
      <w:pPr>
        <w:rPr>
          <w:rFonts w:ascii="Arial" w:hAnsi="Arial" w:cs="Arial"/>
          <w:b/>
          <w:sz w:val="28"/>
          <w:szCs w:val="28"/>
        </w:rPr>
      </w:pPr>
      <w:r>
        <w:rPr>
          <w:rFonts w:ascii="Arial" w:hAnsi="Arial" w:cs="Arial"/>
          <w:b/>
          <w:sz w:val="28"/>
          <w:szCs w:val="28"/>
        </w:rPr>
        <w:lastRenderedPageBreak/>
        <w:tab/>
      </w:r>
      <w:r w:rsidR="003745B6">
        <w:rPr>
          <w:noProof/>
        </w:rPr>
        <w:drawing>
          <wp:inline distT="0" distB="0" distL="0" distR="0" wp14:anchorId="0712C34D" wp14:editId="6F1FA34B">
            <wp:extent cx="3730752" cy="2670048"/>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30752" cy="2670048"/>
                    </a:xfrm>
                    <a:prstGeom prst="rect">
                      <a:avLst/>
                    </a:prstGeom>
                  </pic:spPr>
                </pic:pic>
              </a:graphicData>
            </a:graphic>
          </wp:inline>
        </w:drawing>
      </w:r>
    </w:p>
    <w:p w:rsidR="005B0531" w:rsidRDefault="005B0531">
      <w:pPr>
        <w:rPr>
          <w:rFonts w:ascii="Arial" w:hAnsi="Arial" w:cs="Arial"/>
          <w:b/>
          <w:sz w:val="28"/>
          <w:szCs w:val="28"/>
        </w:rPr>
      </w:pPr>
      <w:r>
        <w:rPr>
          <w:rFonts w:ascii="Arial" w:hAnsi="Arial" w:cs="Arial"/>
          <w:b/>
          <w:sz w:val="28"/>
          <w:szCs w:val="28"/>
        </w:rPr>
        <w:tab/>
      </w:r>
      <w:r w:rsidR="003745B6">
        <w:rPr>
          <w:noProof/>
        </w:rPr>
        <w:drawing>
          <wp:inline distT="0" distB="0" distL="0" distR="0" wp14:anchorId="03A77573" wp14:editId="4A516F94">
            <wp:extent cx="3749040" cy="2679192"/>
            <wp:effectExtent l="0" t="0" r="381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49040" cy="2679192"/>
                    </a:xfrm>
                    <a:prstGeom prst="rect">
                      <a:avLst/>
                    </a:prstGeom>
                  </pic:spPr>
                </pic:pic>
              </a:graphicData>
            </a:graphic>
          </wp:inline>
        </w:drawing>
      </w:r>
      <w:bookmarkStart w:id="0" w:name="_GoBack"/>
      <w:bookmarkEnd w:id="0"/>
    </w:p>
    <w:tbl>
      <w:tblPr>
        <w:tblW w:w="5937" w:type="dxa"/>
        <w:tblInd w:w="765" w:type="dxa"/>
        <w:tblLook w:val="04A0" w:firstRow="1" w:lastRow="0" w:firstColumn="1" w:lastColumn="0" w:noHBand="0" w:noVBand="1"/>
      </w:tblPr>
      <w:tblGrid>
        <w:gridCol w:w="1413"/>
        <w:gridCol w:w="1128"/>
        <w:gridCol w:w="1193"/>
        <w:gridCol w:w="965"/>
        <w:gridCol w:w="1238"/>
      </w:tblGrid>
      <w:tr w:rsidR="003745B6" w:rsidRPr="006970E3" w:rsidTr="001B6933">
        <w:trPr>
          <w:trHeight w:val="498"/>
        </w:trPr>
        <w:tc>
          <w:tcPr>
            <w:tcW w:w="1413" w:type="dxa"/>
            <w:tcBorders>
              <w:top w:val="single" w:sz="8" w:space="0" w:color="auto"/>
              <w:left w:val="single" w:sz="8" w:space="0" w:color="auto"/>
              <w:bottom w:val="nil"/>
              <w:right w:val="nil"/>
            </w:tcBorders>
            <w:shd w:val="clear" w:color="000000" w:fill="EEECE1"/>
            <w:noWrap/>
            <w:vAlign w:val="bottom"/>
            <w:hideMark/>
          </w:tcPr>
          <w:p w:rsidR="006970E3" w:rsidRPr="006970E3" w:rsidRDefault="006970E3" w:rsidP="006970E3">
            <w:pPr>
              <w:spacing w:after="0" w:line="240" w:lineRule="auto"/>
              <w:rPr>
                <w:rFonts w:ascii="Calibri" w:eastAsia="Times New Roman" w:hAnsi="Calibri" w:cs="Times New Roman"/>
                <w:color w:val="000000"/>
              </w:rPr>
            </w:pPr>
            <w:r>
              <w:rPr>
                <w:rFonts w:ascii="Arial" w:hAnsi="Arial" w:cs="Arial"/>
                <w:b/>
                <w:sz w:val="28"/>
                <w:szCs w:val="28"/>
              </w:rPr>
              <w:tab/>
            </w:r>
            <w:r w:rsidRPr="006970E3">
              <w:rPr>
                <w:rFonts w:ascii="Calibri" w:eastAsia="Times New Roman" w:hAnsi="Calibri" w:cs="Times New Roman"/>
                <w:color w:val="000000"/>
              </w:rPr>
              <w:t>Trial No.</w:t>
            </w:r>
          </w:p>
        </w:tc>
        <w:tc>
          <w:tcPr>
            <w:tcW w:w="1128" w:type="dxa"/>
            <w:tcBorders>
              <w:top w:val="single" w:sz="8" w:space="0" w:color="auto"/>
              <w:left w:val="nil"/>
              <w:bottom w:val="nil"/>
              <w:right w:val="nil"/>
            </w:tcBorders>
            <w:shd w:val="clear" w:color="000000" w:fill="EEECE1"/>
            <w:noWrap/>
            <w:vAlign w:val="bottom"/>
            <w:hideMark/>
          </w:tcPr>
          <w:p w:rsidR="006970E3" w:rsidRPr="006970E3" w:rsidRDefault="006970E3" w:rsidP="006970E3">
            <w:pPr>
              <w:spacing w:after="0" w:line="240" w:lineRule="auto"/>
              <w:rPr>
                <w:rFonts w:ascii="Calibri" w:eastAsia="Times New Roman" w:hAnsi="Calibri" w:cs="Times New Roman"/>
                <w:color w:val="000000"/>
              </w:rPr>
            </w:pPr>
            <w:r w:rsidRPr="006970E3">
              <w:rPr>
                <w:rFonts w:ascii="Calibri" w:eastAsia="Times New Roman" w:hAnsi="Calibri" w:cs="Times New Roman"/>
                <w:color w:val="000000"/>
              </w:rPr>
              <w:t>Number of Decayed Nuclei</w:t>
            </w:r>
          </w:p>
        </w:tc>
        <w:tc>
          <w:tcPr>
            <w:tcW w:w="1193" w:type="dxa"/>
            <w:tcBorders>
              <w:top w:val="single" w:sz="8" w:space="0" w:color="auto"/>
              <w:left w:val="nil"/>
              <w:bottom w:val="nil"/>
              <w:right w:val="nil"/>
            </w:tcBorders>
            <w:shd w:val="clear" w:color="000000" w:fill="EEECE1"/>
            <w:noWrap/>
            <w:vAlign w:val="bottom"/>
            <w:hideMark/>
          </w:tcPr>
          <w:p w:rsidR="006970E3" w:rsidRPr="006970E3" w:rsidRDefault="006970E3" w:rsidP="006970E3">
            <w:pPr>
              <w:spacing w:after="0" w:line="240" w:lineRule="auto"/>
              <w:rPr>
                <w:rFonts w:ascii="Calibri" w:eastAsia="Times New Roman" w:hAnsi="Calibri" w:cs="Times New Roman"/>
                <w:color w:val="000000"/>
              </w:rPr>
            </w:pPr>
            <w:r w:rsidRPr="006970E3">
              <w:rPr>
                <w:rFonts w:ascii="Calibri" w:eastAsia="Times New Roman" w:hAnsi="Calibri" w:cs="Times New Roman"/>
                <w:color w:val="000000"/>
              </w:rPr>
              <w:t>No. of half-lives</w:t>
            </w:r>
          </w:p>
        </w:tc>
        <w:tc>
          <w:tcPr>
            <w:tcW w:w="965" w:type="dxa"/>
            <w:tcBorders>
              <w:top w:val="single" w:sz="8" w:space="0" w:color="auto"/>
              <w:left w:val="nil"/>
              <w:bottom w:val="nil"/>
              <w:right w:val="nil"/>
            </w:tcBorders>
            <w:shd w:val="clear" w:color="000000" w:fill="EEECE1"/>
            <w:noWrap/>
            <w:vAlign w:val="bottom"/>
            <w:hideMark/>
          </w:tcPr>
          <w:p w:rsidR="006970E3" w:rsidRPr="006970E3" w:rsidRDefault="006970E3" w:rsidP="006970E3">
            <w:pPr>
              <w:spacing w:after="0" w:line="240" w:lineRule="auto"/>
              <w:rPr>
                <w:rFonts w:ascii="Calibri" w:eastAsia="Times New Roman" w:hAnsi="Calibri" w:cs="Times New Roman"/>
                <w:color w:val="000000"/>
              </w:rPr>
            </w:pPr>
            <w:r w:rsidRPr="006970E3">
              <w:rPr>
                <w:rFonts w:ascii="Calibri" w:eastAsia="Times New Roman" w:hAnsi="Calibri" w:cs="Times New Roman"/>
                <w:color w:val="000000"/>
              </w:rPr>
              <w:t>Elapsed Time</w:t>
            </w:r>
          </w:p>
        </w:tc>
        <w:tc>
          <w:tcPr>
            <w:tcW w:w="1238" w:type="dxa"/>
            <w:tcBorders>
              <w:top w:val="single" w:sz="8" w:space="0" w:color="auto"/>
              <w:left w:val="nil"/>
              <w:bottom w:val="nil"/>
              <w:right w:val="single" w:sz="8" w:space="0" w:color="auto"/>
            </w:tcBorders>
            <w:shd w:val="clear" w:color="000000" w:fill="EEECE1"/>
            <w:noWrap/>
            <w:vAlign w:val="bottom"/>
            <w:hideMark/>
          </w:tcPr>
          <w:p w:rsidR="006970E3" w:rsidRPr="006970E3" w:rsidRDefault="006970E3" w:rsidP="006970E3">
            <w:pPr>
              <w:spacing w:after="0" w:line="240" w:lineRule="auto"/>
              <w:rPr>
                <w:rFonts w:ascii="Calibri" w:eastAsia="Times New Roman" w:hAnsi="Calibri" w:cs="Times New Roman"/>
                <w:color w:val="000000"/>
              </w:rPr>
            </w:pPr>
            <w:r w:rsidRPr="006970E3">
              <w:rPr>
                <w:rFonts w:ascii="Calibri" w:eastAsia="Times New Roman" w:hAnsi="Calibri" w:cs="Times New Roman"/>
                <w:color w:val="000000"/>
              </w:rPr>
              <w:t>% Nuclei Remaining</w:t>
            </w:r>
          </w:p>
        </w:tc>
      </w:tr>
      <w:tr w:rsidR="003745B6" w:rsidRPr="006970E3" w:rsidTr="001B6933">
        <w:trPr>
          <w:trHeight w:val="312"/>
        </w:trPr>
        <w:tc>
          <w:tcPr>
            <w:tcW w:w="1413" w:type="dxa"/>
            <w:tcBorders>
              <w:top w:val="nil"/>
              <w:left w:val="single" w:sz="8" w:space="0" w:color="auto"/>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1</w:t>
            </w:r>
          </w:p>
        </w:tc>
        <w:tc>
          <w:tcPr>
            <w:tcW w:w="1128"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764</w:t>
            </w:r>
          </w:p>
        </w:tc>
        <w:tc>
          <w:tcPr>
            <w:tcW w:w="1193"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2.07</w:t>
            </w:r>
          </w:p>
        </w:tc>
        <w:tc>
          <w:tcPr>
            <w:tcW w:w="965"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41.4</w:t>
            </w:r>
          </w:p>
        </w:tc>
        <w:tc>
          <w:tcPr>
            <w:tcW w:w="1238" w:type="dxa"/>
            <w:tcBorders>
              <w:top w:val="nil"/>
              <w:left w:val="nil"/>
              <w:bottom w:val="nil"/>
              <w:right w:val="single" w:sz="8" w:space="0" w:color="auto"/>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23.60%</w:t>
            </w:r>
          </w:p>
        </w:tc>
      </w:tr>
      <w:tr w:rsidR="003745B6" w:rsidRPr="006970E3" w:rsidTr="001B6933">
        <w:trPr>
          <w:trHeight w:val="312"/>
        </w:trPr>
        <w:tc>
          <w:tcPr>
            <w:tcW w:w="1413" w:type="dxa"/>
            <w:tcBorders>
              <w:top w:val="nil"/>
              <w:left w:val="single" w:sz="8" w:space="0" w:color="auto"/>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2</w:t>
            </w:r>
          </w:p>
        </w:tc>
        <w:tc>
          <w:tcPr>
            <w:tcW w:w="1128"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410</w:t>
            </w:r>
          </w:p>
        </w:tc>
        <w:tc>
          <w:tcPr>
            <w:tcW w:w="1193"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0.76</w:t>
            </w:r>
          </w:p>
        </w:tc>
        <w:tc>
          <w:tcPr>
            <w:tcW w:w="965"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15.2</w:t>
            </w:r>
          </w:p>
        </w:tc>
        <w:tc>
          <w:tcPr>
            <w:tcW w:w="1238" w:type="dxa"/>
            <w:tcBorders>
              <w:top w:val="nil"/>
              <w:left w:val="nil"/>
              <w:bottom w:val="nil"/>
              <w:right w:val="single" w:sz="8" w:space="0" w:color="auto"/>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59.00%</w:t>
            </w:r>
          </w:p>
        </w:tc>
      </w:tr>
      <w:tr w:rsidR="003745B6" w:rsidRPr="006970E3" w:rsidTr="001B6933">
        <w:trPr>
          <w:trHeight w:val="312"/>
        </w:trPr>
        <w:tc>
          <w:tcPr>
            <w:tcW w:w="1413" w:type="dxa"/>
            <w:tcBorders>
              <w:top w:val="nil"/>
              <w:left w:val="single" w:sz="8" w:space="0" w:color="auto"/>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3</w:t>
            </w:r>
          </w:p>
        </w:tc>
        <w:tc>
          <w:tcPr>
            <w:tcW w:w="1128"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711</w:t>
            </w:r>
          </w:p>
        </w:tc>
        <w:tc>
          <w:tcPr>
            <w:tcW w:w="1193"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1.8</w:t>
            </w:r>
          </w:p>
        </w:tc>
        <w:tc>
          <w:tcPr>
            <w:tcW w:w="965"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36</w:t>
            </w:r>
          </w:p>
        </w:tc>
        <w:tc>
          <w:tcPr>
            <w:tcW w:w="1238" w:type="dxa"/>
            <w:tcBorders>
              <w:top w:val="nil"/>
              <w:left w:val="nil"/>
              <w:bottom w:val="nil"/>
              <w:right w:val="single" w:sz="8" w:space="0" w:color="auto"/>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28.90%</w:t>
            </w:r>
          </w:p>
        </w:tc>
      </w:tr>
      <w:tr w:rsidR="003745B6" w:rsidRPr="006970E3" w:rsidTr="001B6933">
        <w:trPr>
          <w:trHeight w:val="312"/>
        </w:trPr>
        <w:tc>
          <w:tcPr>
            <w:tcW w:w="1413" w:type="dxa"/>
            <w:tcBorders>
              <w:top w:val="nil"/>
              <w:left w:val="single" w:sz="8" w:space="0" w:color="auto"/>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4</w:t>
            </w:r>
          </w:p>
        </w:tc>
        <w:tc>
          <w:tcPr>
            <w:tcW w:w="1128"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972</w:t>
            </w:r>
          </w:p>
        </w:tc>
        <w:tc>
          <w:tcPr>
            <w:tcW w:w="1193"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4.7</w:t>
            </w:r>
          </w:p>
        </w:tc>
        <w:tc>
          <w:tcPr>
            <w:tcW w:w="965"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94</w:t>
            </w:r>
          </w:p>
        </w:tc>
        <w:tc>
          <w:tcPr>
            <w:tcW w:w="1238" w:type="dxa"/>
            <w:tcBorders>
              <w:top w:val="nil"/>
              <w:left w:val="nil"/>
              <w:bottom w:val="nil"/>
              <w:right w:val="single" w:sz="8" w:space="0" w:color="auto"/>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2.80%</w:t>
            </w:r>
          </w:p>
        </w:tc>
      </w:tr>
      <w:tr w:rsidR="003745B6" w:rsidRPr="006970E3" w:rsidTr="001B6933">
        <w:trPr>
          <w:trHeight w:val="312"/>
        </w:trPr>
        <w:tc>
          <w:tcPr>
            <w:tcW w:w="1413" w:type="dxa"/>
            <w:tcBorders>
              <w:top w:val="nil"/>
              <w:left w:val="single" w:sz="8" w:space="0" w:color="auto"/>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5</w:t>
            </w:r>
          </w:p>
        </w:tc>
        <w:tc>
          <w:tcPr>
            <w:tcW w:w="1128"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281</w:t>
            </w:r>
          </w:p>
        </w:tc>
        <w:tc>
          <w:tcPr>
            <w:tcW w:w="1193"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0.47</w:t>
            </w:r>
          </w:p>
        </w:tc>
        <w:tc>
          <w:tcPr>
            <w:tcW w:w="965"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9.4</w:t>
            </w:r>
          </w:p>
        </w:tc>
        <w:tc>
          <w:tcPr>
            <w:tcW w:w="1238" w:type="dxa"/>
            <w:tcBorders>
              <w:top w:val="nil"/>
              <w:left w:val="nil"/>
              <w:bottom w:val="nil"/>
              <w:right w:val="single" w:sz="8" w:space="0" w:color="auto"/>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71.90%</w:t>
            </w:r>
          </w:p>
        </w:tc>
      </w:tr>
      <w:tr w:rsidR="003745B6" w:rsidRPr="006970E3" w:rsidTr="001B6933">
        <w:trPr>
          <w:trHeight w:val="312"/>
        </w:trPr>
        <w:tc>
          <w:tcPr>
            <w:tcW w:w="1413" w:type="dxa"/>
            <w:tcBorders>
              <w:top w:val="nil"/>
              <w:left w:val="single" w:sz="8" w:space="0" w:color="auto"/>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6</w:t>
            </w:r>
          </w:p>
        </w:tc>
        <w:tc>
          <w:tcPr>
            <w:tcW w:w="1128"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738</w:t>
            </w:r>
          </w:p>
        </w:tc>
        <w:tc>
          <w:tcPr>
            <w:tcW w:w="1193"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1.86</w:t>
            </w:r>
          </w:p>
        </w:tc>
        <w:tc>
          <w:tcPr>
            <w:tcW w:w="965"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37.2</w:t>
            </w:r>
          </w:p>
        </w:tc>
        <w:tc>
          <w:tcPr>
            <w:tcW w:w="1238" w:type="dxa"/>
            <w:tcBorders>
              <w:top w:val="nil"/>
              <w:left w:val="nil"/>
              <w:bottom w:val="nil"/>
              <w:right w:val="single" w:sz="8" w:space="0" w:color="auto"/>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26.20%</w:t>
            </w:r>
          </w:p>
        </w:tc>
      </w:tr>
      <w:tr w:rsidR="003745B6" w:rsidRPr="006970E3" w:rsidTr="001B6933">
        <w:trPr>
          <w:trHeight w:val="312"/>
        </w:trPr>
        <w:tc>
          <w:tcPr>
            <w:tcW w:w="1413" w:type="dxa"/>
            <w:tcBorders>
              <w:top w:val="nil"/>
              <w:left w:val="single" w:sz="8" w:space="0" w:color="auto"/>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7</w:t>
            </w:r>
          </w:p>
        </w:tc>
        <w:tc>
          <w:tcPr>
            <w:tcW w:w="1128"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327</w:t>
            </w:r>
          </w:p>
        </w:tc>
        <w:tc>
          <w:tcPr>
            <w:tcW w:w="1193"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0.54</w:t>
            </w:r>
          </w:p>
        </w:tc>
        <w:tc>
          <w:tcPr>
            <w:tcW w:w="965" w:type="dxa"/>
            <w:tcBorders>
              <w:top w:val="nil"/>
              <w:left w:val="nil"/>
              <w:bottom w:val="nil"/>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10.8</w:t>
            </w:r>
          </w:p>
        </w:tc>
        <w:tc>
          <w:tcPr>
            <w:tcW w:w="1238" w:type="dxa"/>
            <w:tcBorders>
              <w:top w:val="nil"/>
              <w:left w:val="nil"/>
              <w:bottom w:val="nil"/>
              <w:right w:val="single" w:sz="8" w:space="0" w:color="auto"/>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67.30%</w:t>
            </w:r>
          </w:p>
        </w:tc>
      </w:tr>
      <w:tr w:rsidR="003745B6" w:rsidRPr="006970E3" w:rsidTr="001B6933">
        <w:trPr>
          <w:trHeight w:val="327"/>
        </w:trPr>
        <w:tc>
          <w:tcPr>
            <w:tcW w:w="1413" w:type="dxa"/>
            <w:tcBorders>
              <w:top w:val="nil"/>
              <w:left w:val="single" w:sz="8" w:space="0" w:color="auto"/>
              <w:bottom w:val="single" w:sz="8" w:space="0" w:color="auto"/>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8</w:t>
            </w:r>
          </w:p>
        </w:tc>
        <w:tc>
          <w:tcPr>
            <w:tcW w:w="1128" w:type="dxa"/>
            <w:tcBorders>
              <w:top w:val="nil"/>
              <w:left w:val="nil"/>
              <w:bottom w:val="single" w:sz="8" w:space="0" w:color="auto"/>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748</w:t>
            </w:r>
          </w:p>
        </w:tc>
        <w:tc>
          <w:tcPr>
            <w:tcW w:w="1193" w:type="dxa"/>
            <w:tcBorders>
              <w:top w:val="nil"/>
              <w:left w:val="nil"/>
              <w:bottom w:val="single" w:sz="8" w:space="0" w:color="auto"/>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2.07</w:t>
            </w:r>
          </w:p>
        </w:tc>
        <w:tc>
          <w:tcPr>
            <w:tcW w:w="965" w:type="dxa"/>
            <w:tcBorders>
              <w:top w:val="nil"/>
              <w:left w:val="nil"/>
              <w:bottom w:val="single" w:sz="8" w:space="0" w:color="auto"/>
              <w:right w:val="nil"/>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41.4</w:t>
            </w:r>
          </w:p>
        </w:tc>
        <w:tc>
          <w:tcPr>
            <w:tcW w:w="1238" w:type="dxa"/>
            <w:tcBorders>
              <w:top w:val="nil"/>
              <w:left w:val="nil"/>
              <w:bottom w:val="single" w:sz="8" w:space="0" w:color="auto"/>
              <w:right w:val="single" w:sz="8" w:space="0" w:color="auto"/>
            </w:tcBorders>
            <w:shd w:val="clear" w:color="000000" w:fill="EEECE1"/>
            <w:noWrap/>
            <w:vAlign w:val="bottom"/>
            <w:hideMark/>
          </w:tcPr>
          <w:p w:rsidR="006970E3" w:rsidRPr="006970E3" w:rsidRDefault="006970E3" w:rsidP="006970E3">
            <w:pPr>
              <w:spacing w:after="0" w:line="240" w:lineRule="auto"/>
              <w:jc w:val="right"/>
              <w:rPr>
                <w:rFonts w:ascii="Calibri" w:eastAsia="Times New Roman" w:hAnsi="Calibri" w:cs="Times New Roman"/>
                <w:color w:val="000000"/>
              </w:rPr>
            </w:pPr>
            <w:r w:rsidRPr="006970E3">
              <w:rPr>
                <w:rFonts w:ascii="Calibri" w:eastAsia="Times New Roman" w:hAnsi="Calibri" w:cs="Times New Roman"/>
                <w:color w:val="000000"/>
              </w:rPr>
              <w:t>25.20%</w:t>
            </w:r>
          </w:p>
        </w:tc>
      </w:tr>
    </w:tbl>
    <w:p w:rsidR="006970E3" w:rsidRPr="000C7B85" w:rsidRDefault="006970E3">
      <w:pPr>
        <w:rPr>
          <w:rFonts w:ascii="Arial" w:hAnsi="Arial" w:cs="Arial"/>
          <w:sz w:val="24"/>
          <w:szCs w:val="24"/>
        </w:rPr>
      </w:pPr>
      <w:r w:rsidRPr="000C7B85">
        <w:rPr>
          <w:rFonts w:ascii="Arial" w:hAnsi="Arial" w:cs="Arial"/>
          <w:sz w:val="24"/>
          <w:szCs w:val="24"/>
        </w:rPr>
        <w:lastRenderedPageBreak/>
        <w:tab/>
      </w:r>
      <w:r w:rsidRPr="000C7B85">
        <w:rPr>
          <w:noProof/>
        </w:rPr>
        <w:drawing>
          <wp:inline distT="0" distB="0" distL="0" distR="0" wp14:anchorId="0FF72A55" wp14:editId="181FC743">
            <wp:extent cx="3781425" cy="296227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5F51" w:rsidRDefault="005D5F51">
      <w:pPr>
        <w:rPr>
          <w:rFonts w:ascii="Arial" w:hAnsi="Arial" w:cs="Arial"/>
          <w:sz w:val="28"/>
          <w:szCs w:val="28"/>
        </w:rPr>
      </w:pPr>
      <w:r w:rsidRPr="005D5F51">
        <w:rPr>
          <w:rFonts w:ascii="Arial" w:hAnsi="Arial" w:cs="Arial"/>
          <w:b/>
          <w:sz w:val="28"/>
          <w:szCs w:val="28"/>
        </w:rPr>
        <w:t>Conclusions:</w:t>
      </w:r>
      <w:r w:rsidRPr="005D5F51">
        <w:rPr>
          <w:rFonts w:ascii="Arial" w:hAnsi="Arial" w:cs="Arial"/>
          <w:sz w:val="28"/>
          <w:szCs w:val="28"/>
        </w:rPr>
        <w:t xml:space="preserve"> </w:t>
      </w:r>
    </w:p>
    <w:p w:rsidR="00F1202F" w:rsidRDefault="000C7B85" w:rsidP="00925D43">
      <w:pPr>
        <w:ind w:left="720"/>
        <w:rPr>
          <w:rFonts w:ascii="Arial" w:hAnsi="Arial" w:cs="Arial"/>
          <w:sz w:val="24"/>
          <w:szCs w:val="24"/>
        </w:rPr>
      </w:pPr>
      <w:r w:rsidRPr="000C7B85">
        <w:rPr>
          <w:rFonts w:ascii="Arial" w:hAnsi="Arial" w:cs="Arial"/>
          <w:sz w:val="24"/>
          <w:szCs w:val="24"/>
        </w:rPr>
        <w:t>While</w:t>
      </w:r>
      <w:r>
        <w:rPr>
          <w:rFonts w:ascii="Arial" w:hAnsi="Arial" w:cs="Arial"/>
          <w:sz w:val="24"/>
          <w:szCs w:val="24"/>
        </w:rPr>
        <w:t xml:space="preserve"> being able to predict the rate as a percentage at which </w:t>
      </w:r>
      <w:r w:rsidR="00BA2FFE">
        <w:rPr>
          <w:rFonts w:ascii="Arial" w:hAnsi="Arial" w:cs="Arial"/>
          <w:sz w:val="24"/>
          <w:szCs w:val="24"/>
        </w:rPr>
        <w:t>nuclei</w:t>
      </w:r>
      <w:r w:rsidR="00F1202F">
        <w:rPr>
          <w:rFonts w:ascii="Arial" w:hAnsi="Arial" w:cs="Arial"/>
          <w:sz w:val="24"/>
          <w:szCs w:val="24"/>
        </w:rPr>
        <w:t xml:space="preserve"> in a substance </w:t>
      </w:r>
      <w:r>
        <w:rPr>
          <w:rFonts w:ascii="Arial" w:hAnsi="Arial" w:cs="Arial"/>
          <w:sz w:val="24"/>
          <w:szCs w:val="24"/>
        </w:rPr>
        <w:t xml:space="preserve">will decay, it is not possible to predict with any specificity when an individual </w:t>
      </w:r>
      <w:r w:rsidR="00BA2FFE">
        <w:rPr>
          <w:rFonts w:ascii="Arial" w:hAnsi="Arial" w:cs="Arial"/>
          <w:sz w:val="24"/>
          <w:szCs w:val="24"/>
        </w:rPr>
        <w:t>nuclei</w:t>
      </w:r>
      <w:r>
        <w:rPr>
          <w:rFonts w:ascii="Arial" w:hAnsi="Arial" w:cs="Arial"/>
          <w:sz w:val="24"/>
          <w:szCs w:val="24"/>
        </w:rPr>
        <w:t xml:space="preserve"> in a substance will decay.  </w:t>
      </w:r>
    </w:p>
    <w:p w:rsidR="000C7B85" w:rsidRPr="000C7B85" w:rsidRDefault="000C7B85" w:rsidP="00F1202F">
      <w:pPr>
        <w:ind w:left="720" w:firstLine="720"/>
        <w:rPr>
          <w:rFonts w:ascii="Arial" w:hAnsi="Arial" w:cs="Arial"/>
          <w:sz w:val="24"/>
          <w:szCs w:val="24"/>
        </w:rPr>
      </w:pPr>
      <w:r>
        <w:rPr>
          <w:rFonts w:ascii="Arial" w:hAnsi="Arial" w:cs="Arial"/>
          <w:sz w:val="24"/>
          <w:szCs w:val="24"/>
        </w:rPr>
        <w:t xml:space="preserve">As demonstrated with the Atom Decay Chart </w:t>
      </w:r>
      <w:r w:rsidR="00F1202F">
        <w:rPr>
          <w:rFonts w:ascii="Arial" w:hAnsi="Arial" w:cs="Arial"/>
          <w:sz w:val="24"/>
          <w:szCs w:val="24"/>
        </w:rPr>
        <w:t xml:space="preserve">and the data and graphs from the Java Lab </w:t>
      </w:r>
      <w:r>
        <w:rPr>
          <w:rFonts w:ascii="Arial" w:hAnsi="Arial" w:cs="Arial"/>
          <w:sz w:val="24"/>
          <w:szCs w:val="24"/>
        </w:rPr>
        <w:t>above there is n</w:t>
      </w:r>
      <w:r w:rsidR="00BA2FFE">
        <w:rPr>
          <w:rFonts w:ascii="Arial" w:hAnsi="Arial" w:cs="Arial"/>
          <w:sz w:val="24"/>
          <w:szCs w:val="24"/>
        </w:rPr>
        <w:t>ot possible to predict the moment in time distinct nuclei</w:t>
      </w:r>
      <w:r>
        <w:rPr>
          <w:rFonts w:ascii="Arial" w:hAnsi="Arial" w:cs="Arial"/>
          <w:sz w:val="24"/>
          <w:szCs w:val="24"/>
        </w:rPr>
        <w:t xml:space="preserve"> will decay.  </w:t>
      </w:r>
      <w:r w:rsidR="00F1202F">
        <w:rPr>
          <w:rFonts w:ascii="Arial" w:hAnsi="Arial" w:cs="Arial"/>
          <w:sz w:val="24"/>
          <w:szCs w:val="24"/>
        </w:rPr>
        <w:t>All the data show that while</w:t>
      </w:r>
      <w:r w:rsidR="00BA2FFE">
        <w:rPr>
          <w:rFonts w:ascii="Arial" w:hAnsi="Arial" w:cs="Arial"/>
          <w:sz w:val="24"/>
          <w:szCs w:val="24"/>
        </w:rPr>
        <w:t xml:space="preserve"> the percentage of decay </w:t>
      </w:r>
      <w:r w:rsidR="00F1202F">
        <w:rPr>
          <w:rFonts w:ascii="Arial" w:hAnsi="Arial" w:cs="Arial"/>
          <w:sz w:val="24"/>
          <w:szCs w:val="24"/>
        </w:rPr>
        <w:t>specific to the</w:t>
      </w:r>
      <w:r w:rsidR="00BA2FFE">
        <w:rPr>
          <w:rFonts w:ascii="Arial" w:hAnsi="Arial" w:cs="Arial"/>
          <w:sz w:val="24"/>
          <w:szCs w:val="24"/>
        </w:rPr>
        <w:t xml:space="preserve"> elapsed</w:t>
      </w:r>
      <w:r w:rsidR="00F1202F">
        <w:rPr>
          <w:rFonts w:ascii="Arial" w:hAnsi="Arial" w:cs="Arial"/>
          <w:sz w:val="24"/>
          <w:szCs w:val="24"/>
        </w:rPr>
        <w:t xml:space="preserve"> time</w:t>
      </w:r>
      <w:r w:rsidR="00BA2FFE">
        <w:rPr>
          <w:rFonts w:ascii="Arial" w:hAnsi="Arial" w:cs="Arial"/>
          <w:sz w:val="24"/>
          <w:szCs w:val="24"/>
        </w:rPr>
        <w:t xml:space="preserve"> period</w:t>
      </w:r>
      <w:r w:rsidR="00F1202F">
        <w:rPr>
          <w:rFonts w:ascii="Arial" w:hAnsi="Arial" w:cs="Arial"/>
          <w:sz w:val="24"/>
          <w:szCs w:val="24"/>
        </w:rPr>
        <w:t xml:space="preserve"> is predictable, the decay</w:t>
      </w:r>
      <w:r w:rsidR="00BA2FFE">
        <w:rPr>
          <w:rFonts w:ascii="Arial" w:hAnsi="Arial" w:cs="Arial"/>
          <w:sz w:val="24"/>
          <w:szCs w:val="24"/>
        </w:rPr>
        <w:t xml:space="preserve"> of an </w:t>
      </w:r>
      <w:r w:rsidR="00F1202F">
        <w:rPr>
          <w:rFonts w:ascii="Arial" w:hAnsi="Arial" w:cs="Arial"/>
          <w:sz w:val="24"/>
          <w:szCs w:val="24"/>
        </w:rPr>
        <w:t xml:space="preserve">individual </w:t>
      </w:r>
      <w:r w:rsidR="00BA2FFE">
        <w:rPr>
          <w:rFonts w:ascii="Arial" w:hAnsi="Arial" w:cs="Arial"/>
          <w:sz w:val="24"/>
          <w:szCs w:val="24"/>
        </w:rPr>
        <w:t xml:space="preserve">nucleus </w:t>
      </w:r>
      <w:r w:rsidR="00F1202F">
        <w:rPr>
          <w:rFonts w:ascii="Arial" w:hAnsi="Arial" w:cs="Arial"/>
          <w:sz w:val="24"/>
          <w:szCs w:val="24"/>
        </w:rPr>
        <w:t xml:space="preserve">occurs </w:t>
      </w:r>
      <w:r>
        <w:rPr>
          <w:rFonts w:ascii="Arial" w:hAnsi="Arial" w:cs="Arial"/>
          <w:sz w:val="24"/>
          <w:szCs w:val="24"/>
        </w:rPr>
        <w:t>at random times so by definition is unpredictable.</w:t>
      </w:r>
    </w:p>
    <w:sectPr w:rsidR="000C7B85" w:rsidRPr="000C7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Rounded MT Bol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altName w:val="Calisto MT"/>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51"/>
    <w:rsid w:val="000C7B85"/>
    <w:rsid w:val="00140E88"/>
    <w:rsid w:val="001B6933"/>
    <w:rsid w:val="00250C99"/>
    <w:rsid w:val="003745B6"/>
    <w:rsid w:val="004D5F3B"/>
    <w:rsid w:val="005B0531"/>
    <w:rsid w:val="005D5F51"/>
    <w:rsid w:val="0069492A"/>
    <w:rsid w:val="006970E3"/>
    <w:rsid w:val="00716DCA"/>
    <w:rsid w:val="007D5956"/>
    <w:rsid w:val="008D2DE7"/>
    <w:rsid w:val="00925D43"/>
    <w:rsid w:val="00A82ADA"/>
    <w:rsid w:val="00BA2FFE"/>
    <w:rsid w:val="00F1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157749">
      <w:bodyDiv w:val="1"/>
      <w:marLeft w:val="0"/>
      <w:marRight w:val="0"/>
      <w:marTop w:val="0"/>
      <w:marBottom w:val="0"/>
      <w:divBdr>
        <w:top w:val="none" w:sz="0" w:space="0" w:color="auto"/>
        <w:left w:val="none" w:sz="0" w:space="0" w:color="auto"/>
        <w:bottom w:val="none" w:sz="0" w:space="0" w:color="auto"/>
        <w:right w:val="none" w:sz="0" w:space="0" w:color="auto"/>
      </w:divBdr>
    </w:div>
    <w:div w:id="1616326182">
      <w:bodyDiv w:val="1"/>
      <w:marLeft w:val="0"/>
      <w:marRight w:val="0"/>
      <w:marTop w:val="0"/>
      <w:marBottom w:val="0"/>
      <w:divBdr>
        <w:top w:val="none" w:sz="0" w:space="0" w:color="auto"/>
        <w:left w:val="none" w:sz="0" w:space="0" w:color="auto"/>
        <w:bottom w:val="none" w:sz="0" w:space="0" w:color="auto"/>
        <w:right w:val="none" w:sz="0" w:space="0" w:color="auto"/>
      </w:divBdr>
    </w:div>
    <w:div w:id="1677028002">
      <w:bodyDiv w:val="1"/>
      <w:marLeft w:val="0"/>
      <w:marRight w:val="0"/>
      <w:marTop w:val="0"/>
      <w:marBottom w:val="0"/>
      <w:divBdr>
        <w:top w:val="none" w:sz="0" w:space="0" w:color="auto"/>
        <w:left w:val="none" w:sz="0" w:space="0" w:color="auto"/>
        <w:bottom w:val="none" w:sz="0" w:space="0" w:color="auto"/>
        <w:right w:val="none" w:sz="0" w:space="0" w:color="auto"/>
      </w:divBdr>
    </w:div>
    <w:div w:id="17161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F:\Physics-PHYS102-11R-B1-201320\Lab_16_Radioactive_Deca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Nuclei</a:t>
            </a:r>
            <a:r>
              <a:rPr lang="en-US" baseline="0"/>
              <a:t> Decay Chart</a:t>
            </a:r>
            <a:endParaRPr lang="en-US"/>
          </a:p>
        </c:rich>
      </c:tx>
      <c:layout/>
      <c:overlay val="0"/>
    </c:title>
    <c:autoTitleDeleted val="0"/>
    <c:plotArea>
      <c:layout/>
      <c:lineChart>
        <c:grouping val="standard"/>
        <c:varyColors val="0"/>
        <c:ser>
          <c:idx val="0"/>
          <c:order val="0"/>
          <c:marker>
            <c:symbol val="none"/>
          </c:marker>
          <c:val>
            <c:numRef>
              <c:f>Sheet1!$E$2:$E$9</c:f>
              <c:numCache>
                <c:formatCode>0.00%</c:formatCode>
                <c:ptCount val="8"/>
                <c:pt idx="0">
                  <c:v>0.23599999999999999</c:v>
                </c:pt>
                <c:pt idx="1">
                  <c:v>0.59</c:v>
                </c:pt>
                <c:pt idx="2">
                  <c:v>0.28899999999999998</c:v>
                </c:pt>
                <c:pt idx="3">
                  <c:v>2.8000000000000001E-2</c:v>
                </c:pt>
                <c:pt idx="4">
                  <c:v>0.71899999999999997</c:v>
                </c:pt>
                <c:pt idx="5">
                  <c:v>0.26200000000000001</c:v>
                </c:pt>
                <c:pt idx="6">
                  <c:v>0.67300000000000004</c:v>
                </c:pt>
                <c:pt idx="7">
                  <c:v>0.252</c:v>
                </c:pt>
              </c:numCache>
            </c:numRef>
          </c:val>
          <c:smooth val="0"/>
        </c:ser>
        <c:dLbls>
          <c:showLegendKey val="0"/>
          <c:showVal val="0"/>
          <c:showCatName val="0"/>
          <c:showSerName val="0"/>
          <c:showPercent val="0"/>
          <c:showBubbleSize val="0"/>
        </c:dLbls>
        <c:marker val="1"/>
        <c:smooth val="0"/>
        <c:axId val="137159808"/>
        <c:axId val="137162112"/>
      </c:lineChart>
      <c:catAx>
        <c:axId val="137159808"/>
        <c:scaling>
          <c:orientation val="minMax"/>
        </c:scaling>
        <c:delete val="0"/>
        <c:axPos val="b"/>
        <c:title>
          <c:tx>
            <c:rich>
              <a:bodyPr/>
              <a:lstStyle/>
              <a:p>
                <a:pPr>
                  <a:defRPr/>
                </a:pPr>
                <a:r>
                  <a:rPr lang="en-US"/>
                  <a:t>Trial Number</a:t>
                </a:r>
              </a:p>
            </c:rich>
          </c:tx>
          <c:layout/>
          <c:overlay val="0"/>
        </c:title>
        <c:majorTickMark val="out"/>
        <c:minorTickMark val="none"/>
        <c:tickLblPos val="nextTo"/>
        <c:crossAx val="137162112"/>
        <c:crosses val="autoZero"/>
        <c:auto val="1"/>
        <c:lblAlgn val="ctr"/>
        <c:lblOffset val="100"/>
        <c:noMultiLvlLbl val="0"/>
      </c:catAx>
      <c:valAx>
        <c:axId val="137162112"/>
        <c:scaling>
          <c:orientation val="minMax"/>
        </c:scaling>
        <c:delete val="0"/>
        <c:axPos val="l"/>
        <c:majorGridlines/>
        <c:title>
          <c:tx>
            <c:rich>
              <a:bodyPr rot="0" vert="horz"/>
              <a:lstStyle/>
              <a:p>
                <a:pPr>
                  <a:defRPr/>
                </a:pPr>
                <a:r>
                  <a:rPr lang="en-US"/>
                  <a:t>Percentage of Remaining Nuclei</a:t>
                </a:r>
              </a:p>
              <a:p>
                <a:pPr>
                  <a:defRPr/>
                </a:pPr>
                <a:endParaRPr lang="en-US"/>
              </a:p>
            </c:rich>
          </c:tx>
          <c:layout/>
          <c:overlay val="0"/>
        </c:title>
        <c:numFmt formatCode="0.00%" sourceLinked="1"/>
        <c:majorTickMark val="out"/>
        <c:minorTickMark val="none"/>
        <c:tickLblPos val="nextTo"/>
        <c:crossAx val="1371598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TotalTime>
  <Pages>5</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7</cp:revision>
  <dcterms:created xsi:type="dcterms:W3CDTF">2013-12-08T21:54:00Z</dcterms:created>
  <dcterms:modified xsi:type="dcterms:W3CDTF">2013-12-09T16:02:00Z</dcterms:modified>
</cp:coreProperties>
</file>